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597" w:rsidRDefault="001E0597" w:rsidP="00CE45B8">
      <w:pPr>
        <w:jc w:val="right"/>
        <w:rPr>
          <w:b/>
          <w:color w:val="C00000"/>
          <w:sz w:val="28"/>
        </w:rPr>
      </w:pPr>
    </w:p>
    <w:p w:rsidR="00B612DA" w:rsidRPr="00CE45B8" w:rsidRDefault="0025245D" w:rsidP="00CE45B8">
      <w:pPr>
        <w:jc w:val="right"/>
        <w:rPr>
          <w:b/>
          <w:color w:val="C00000"/>
          <w:sz w:val="28"/>
        </w:rPr>
      </w:pPr>
      <w:r>
        <w:rPr>
          <w:b/>
          <w:color w:val="C00000"/>
          <w:sz w:val="28"/>
        </w:rPr>
        <w:t xml:space="preserve">DIE </w:t>
      </w:r>
      <w:r w:rsidRPr="00CE45B8">
        <w:rPr>
          <w:b/>
          <w:color w:val="C00000"/>
          <w:sz w:val="28"/>
        </w:rPr>
        <w:t>SYMBOLE</w:t>
      </w:r>
    </w:p>
    <w:p w:rsidR="00B612DA" w:rsidRDefault="00B612DA" w:rsidP="00CE45B8">
      <w:pPr>
        <w:jc w:val="right"/>
      </w:pPr>
    </w:p>
    <w:p w:rsidR="00814AFD" w:rsidRPr="003C61C1" w:rsidRDefault="00814AFD" w:rsidP="0025245D">
      <w:pPr>
        <w:jc w:val="both"/>
      </w:pPr>
      <w:r w:rsidRPr="003C61C1">
        <w:t>An den Beschriftun</w:t>
      </w:r>
      <w:r>
        <w:t>gen der einzelnen Objekte findet</w:t>
      </w:r>
      <w:r w:rsidRPr="003C61C1">
        <w:t xml:space="preserve"> </w:t>
      </w:r>
      <w:r>
        <w:t>sich</w:t>
      </w:r>
      <w:r w:rsidRPr="003C61C1">
        <w:t xml:space="preserve"> jeweils ein Symbol, das die Orientierung in der Ausstellung erleichtern soll.</w:t>
      </w:r>
      <w:r w:rsidR="00A553D4">
        <w:t xml:space="preserve"> </w:t>
      </w:r>
      <w:r w:rsidRPr="003C61C1">
        <w:t xml:space="preserve">Nach diesen </w:t>
      </w:r>
      <w:r w:rsidRPr="00A553D4">
        <w:rPr>
          <w:b/>
        </w:rPr>
        <w:t>Symbolen</w:t>
      </w:r>
      <w:r w:rsidRPr="003C61C1">
        <w:t xml:space="preserve"> </w:t>
      </w:r>
      <w:r>
        <w:t xml:space="preserve">können sich die </w:t>
      </w:r>
      <w:proofErr w:type="spellStart"/>
      <w:r>
        <w:t>Besucher_innen</w:t>
      </w:r>
      <w:proofErr w:type="spellEnd"/>
      <w:r w:rsidRPr="003C61C1">
        <w:t xml:space="preserve"> selbständig einen thematischen Rundgang zusammenstellen:</w:t>
      </w:r>
      <w:r w:rsidRPr="003C61C1">
        <w:br/>
      </w:r>
    </w:p>
    <w:p w:rsidR="0025245D" w:rsidRDefault="0025245D" w:rsidP="00814AFD">
      <w:pPr>
        <w:rPr>
          <w:b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27877970" wp14:editId="134A749D">
            <wp:simplePos x="0" y="0"/>
            <wp:positionH relativeFrom="column">
              <wp:posOffset>5080</wp:posOffset>
            </wp:positionH>
            <wp:positionV relativeFrom="paragraph">
              <wp:posOffset>124460</wp:posOffset>
            </wp:positionV>
            <wp:extent cx="898525" cy="1639570"/>
            <wp:effectExtent l="0" t="0" r="0" b="0"/>
            <wp:wrapTight wrapText="bothSides">
              <wp:wrapPolygon edited="0">
                <wp:start x="0" y="0"/>
                <wp:lineTo x="0" y="21332"/>
                <wp:lineTo x="21066" y="21332"/>
                <wp:lineTo x="21066" y="0"/>
                <wp:lineTo x="0" y="0"/>
              </wp:wrapPolygon>
            </wp:wrapTight>
            <wp:docPr id="8" name="Grafik 8" descr="M:\DezIX\Abt4\Ausstellungen\Dauerausstellung\Kreuzgangobergeschoss\Handouts für Besucher, auch engl\Symbole\Kreu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:\DezIX\Abt4\Ausstellungen\Dauerausstellung\Kreuzgangobergeschoss\Handouts für Besucher, auch engl\Symbole\Kreuz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4AFD">
        <w:rPr>
          <w:b/>
        </w:rPr>
        <w:br/>
      </w:r>
    </w:p>
    <w:p w:rsidR="0025245D" w:rsidRDefault="0025245D" w:rsidP="0025245D">
      <w:pPr>
        <w:rPr>
          <w:b/>
        </w:rPr>
      </w:pPr>
    </w:p>
    <w:p w:rsidR="0025245D" w:rsidRPr="003C61C1" w:rsidRDefault="0025245D" w:rsidP="0025245D">
      <w:pPr>
        <w:rPr>
          <w:b/>
        </w:rPr>
      </w:pPr>
      <w:r>
        <w:rPr>
          <w:b/>
        </w:rPr>
        <w:t xml:space="preserve">  </w:t>
      </w:r>
      <w:r w:rsidR="001E0597">
        <w:rPr>
          <w:b/>
        </w:rPr>
        <w:t xml:space="preserve"> </w:t>
      </w:r>
      <w:r w:rsidRPr="003C61C1">
        <w:rPr>
          <w:b/>
        </w:rPr>
        <w:t>Kreuz</w:t>
      </w:r>
    </w:p>
    <w:p w:rsidR="0025245D" w:rsidRPr="003C61C1" w:rsidRDefault="0025245D" w:rsidP="0025245D">
      <w:r>
        <w:t xml:space="preserve">  </w:t>
      </w:r>
      <w:r w:rsidR="001E0597">
        <w:t xml:space="preserve"> </w:t>
      </w:r>
      <w:r w:rsidRPr="003C61C1">
        <w:t xml:space="preserve">Unter diesem Symbol sind Christus-Darstellungen </w:t>
      </w:r>
      <w:r>
        <w:br/>
        <w:t xml:space="preserve">  </w:t>
      </w:r>
      <w:r w:rsidR="001E0597">
        <w:t xml:space="preserve"> </w:t>
      </w:r>
      <w:r w:rsidRPr="003C61C1">
        <w:t xml:space="preserve">aus 1.000 Jahren </w:t>
      </w:r>
      <w:r>
        <w:t xml:space="preserve"> </w:t>
      </w:r>
      <w:r w:rsidRPr="003C61C1">
        <w:t>zu finden.</w:t>
      </w:r>
    </w:p>
    <w:p w:rsidR="0025245D" w:rsidRDefault="0025245D" w:rsidP="00814AFD">
      <w:pPr>
        <w:rPr>
          <w:b/>
        </w:rPr>
      </w:pPr>
    </w:p>
    <w:p w:rsidR="0025245D" w:rsidRDefault="0025245D" w:rsidP="00814AFD">
      <w:pPr>
        <w:rPr>
          <w:b/>
        </w:rPr>
      </w:pPr>
    </w:p>
    <w:p w:rsidR="0025245D" w:rsidRDefault="0025245D" w:rsidP="00814AFD">
      <w:pPr>
        <w:rPr>
          <w:b/>
        </w:rPr>
      </w:pPr>
    </w:p>
    <w:p w:rsidR="0025245D" w:rsidRDefault="0025245D" w:rsidP="00814AFD">
      <w:pPr>
        <w:rPr>
          <w:b/>
        </w:rPr>
      </w:pPr>
    </w:p>
    <w:p w:rsidR="0025245D" w:rsidRDefault="0025245D" w:rsidP="00814AFD">
      <w:pPr>
        <w:rPr>
          <w:b/>
        </w:rPr>
      </w:pPr>
    </w:p>
    <w:p w:rsidR="0025245D" w:rsidRDefault="0025245D" w:rsidP="00814AFD">
      <w:pPr>
        <w:rPr>
          <w:b/>
        </w:rPr>
      </w:pPr>
      <w:r w:rsidRPr="003C61C1">
        <w:rPr>
          <w:noProof/>
        </w:rPr>
        <w:drawing>
          <wp:anchor distT="0" distB="0" distL="114300" distR="114300" simplePos="0" relativeHeight="251665408" behindDoc="1" locked="0" layoutInCell="1" allowOverlap="1" wp14:anchorId="1E3E61B7" wp14:editId="5A377861">
            <wp:simplePos x="0" y="0"/>
            <wp:positionH relativeFrom="column">
              <wp:posOffset>3175</wp:posOffset>
            </wp:positionH>
            <wp:positionV relativeFrom="paragraph">
              <wp:posOffset>87630</wp:posOffset>
            </wp:positionV>
            <wp:extent cx="1024255" cy="1739900"/>
            <wp:effectExtent l="0" t="0" r="4445" b="0"/>
            <wp:wrapTight wrapText="bothSides">
              <wp:wrapPolygon edited="0">
                <wp:start x="0" y="0"/>
                <wp:lineTo x="0" y="21285"/>
                <wp:lineTo x="21292" y="21285"/>
                <wp:lineTo x="2129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255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245D" w:rsidRDefault="00814AFD" w:rsidP="00814AFD">
      <w:pPr>
        <w:rPr>
          <w:b/>
        </w:rPr>
      </w:pPr>
      <w:r>
        <w:rPr>
          <w:b/>
        </w:rPr>
        <w:br/>
      </w:r>
    </w:p>
    <w:p w:rsidR="00814AFD" w:rsidRPr="003C61C1" w:rsidRDefault="00814AFD" w:rsidP="00814AFD">
      <w:r w:rsidRPr="003C61C1">
        <w:rPr>
          <w:b/>
        </w:rPr>
        <w:t>Märtyrerpalme</w:t>
      </w:r>
      <w:r w:rsidRPr="003C61C1">
        <w:rPr>
          <w:b/>
        </w:rPr>
        <w:br/>
      </w:r>
      <w:r w:rsidRPr="003C61C1">
        <w:t xml:space="preserve">Hier stellen wir Ihnen alles rund um das Thema Heilige, </w:t>
      </w:r>
      <w:r w:rsidR="0025245D">
        <w:br/>
      </w:r>
      <w:r w:rsidRPr="003C61C1">
        <w:t xml:space="preserve">Heiligsprechung sowie das Marienbild in Mittelalter und </w:t>
      </w:r>
      <w:r w:rsidR="0025245D">
        <w:br/>
      </w:r>
      <w:r w:rsidRPr="003C61C1">
        <w:t>Früher Neuzeit vor.</w:t>
      </w:r>
      <w:r w:rsidRPr="003C61C1">
        <w:rPr>
          <w:b/>
        </w:rPr>
        <w:br/>
      </w:r>
    </w:p>
    <w:p w:rsidR="00814AFD" w:rsidRPr="003C61C1" w:rsidRDefault="00814AFD" w:rsidP="00814AFD"/>
    <w:p w:rsidR="00814AFD" w:rsidRPr="003C61C1" w:rsidRDefault="00814AFD" w:rsidP="00814AFD"/>
    <w:p w:rsidR="00814AFD" w:rsidRDefault="00814AFD" w:rsidP="00814AFD">
      <w:pPr>
        <w:rPr>
          <w:b/>
        </w:rPr>
      </w:pPr>
    </w:p>
    <w:p w:rsidR="00CE45B8" w:rsidRDefault="0025245D" w:rsidP="001E0597">
      <w:pPr>
        <w:ind w:left="1701"/>
        <w:rPr>
          <w:b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5CB65D61" wp14:editId="5B293285">
            <wp:simplePos x="0" y="0"/>
            <wp:positionH relativeFrom="column">
              <wp:posOffset>5080</wp:posOffset>
            </wp:positionH>
            <wp:positionV relativeFrom="paragraph">
              <wp:posOffset>116205</wp:posOffset>
            </wp:positionV>
            <wp:extent cx="898525" cy="1639570"/>
            <wp:effectExtent l="0" t="0" r="0" b="0"/>
            <wp:wrapTight wrapText="bothSides">
              <wp:wrapPolygon edited="0">
                <wp:start x="0" y="0"/>
                <wp:lineTo x="0" y="21332"/>
                <wp:lineTo x="21066" y="21332"/>
                <wp:lineTo x="21066" y="0"/>
                <wp:lineTo x="0" y="0"/>
              </wp:wrapPolygon>
            </wp:wrapTight>
            <wp:docPr id="6" name="Grafik 6" descr="M:\DezIX\Abt4\Ausstellungen\Dauerausstellung\Kreuzgangobergeschoss\Handouts für Besucher, auch engl\Symbole\Bischofssta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DezIX\Abt4\Ausstellungen\Dauerausstellung\Kreuzgangobergeschoss\Handouts für Besucher, auch engl\Symbole\Bischofssta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63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4AFD">
        <w:rPr>
          <w:b/>
        </w:rPr>
        <w:t xml:space="preserve"> </w:t>
      </w:r>
    </w:p>
    <w:p w:rsidR="00CE45B8" w:rsidRDefault="00CE45B8" w:rsidP="00CE45B8">
      <w:pPr>
        <w:ind w:left="1416" w:firstLine="708"/>
        <w:rPr>
          <w:b/>
        </w:rPr>
      </w:pPr>
      <w:r>
        <w:rPr>
          <w:b/>
        </w:rPr>
        <w:t xml:space="preserve">     </w:t>
      </w:r>
    </w:p>
    <w:p w:rsidR="00CE45B8" w:rsidRDefault="00CE45B8" w:rsidP="00CE45B8">
      <w:pPr>
        <w:ind w:left="1416" w:firstLine="708"/>
        <w:rPr>
          <w:b/>
        </w:rPr>
      </w:pPr>
    </w:p>
    <w:p w:rsidR="00CE45B8" w:rsidRDefault="00CE45B8" w:rsidP="00CE45B8">
      <w:pPr>
        <w:rPr>
          <w:b/>
        </w:rPr>
      </w:pPr>
      <w:r>
        <w:rPr>
          <w:b/>
        </w:rPr>
        <w:t xml:space="preserve">   </w:t>
      </w:r>
    </w:p>
    <w:p w:rsidR="0025245D" w:rsidRPr="003C61C1" w:rsidRDefault="0025245D" w:rsidP="0025245D">
      <w:r>
        <w:rPr>
          <w:b/>
        </w:rPr>
        <w:t xml:space="preserve">  </w:t>
      </w:r>
      <w:r w:rsidR="001E0597">
        <w:rPr>
          <w:b/>
        </w:rPr>
        <w:t xml:space="preserve"> </w:t>
      </w:r>
      <w:r w:rsidRPr="003C61C1">
        <w:rPr>
          <w:b/>
        </w:rPr>
        <w:t>Bischofsstab</w:t>
      </w:r>
    </w:p>
    <w:p w:rsidR="0025245D" w:rsidRDefault="0025245D" w:rsidP="0025245D">
      <w:r>
        <w:t xml:space="preserve">  </w:t>
      </w:r>
      <w:r w:rsidR="001E0597">
        <w:t xml:space="preserve"> </w:t>
      </w:r>
      <w:r w:rsidRPr="003C61C1">
        <w:t xml:space="preserve">Das (Erz-) Bistum Mainz besteht seit nahezu 1.600 Jahren. </w:t>
      </w:r>
      <w:r>
        <w:t xml:space="preserve">  </w:t>
      </w:r>
    </w:p>
    <w:p w:rsidR="0025245D" w:rsidRDefault="0025245D" w:rsidP="0025245D">
      <w:r>
        <w:t xml:space="preserve">  </w:t>
      </w:r>
      <w:r w:rsidR="001E0597">
        <w:t xml:space="preserve"> </w:t>
      </w:r>
      <w:r w:rsidRPr="003C61C1">
        <w:t xml:space="preserve">Seine bewegte Geschichte erläutern die mit diesem Symbol </w:t>
      </w:r>
      <w:r>
        <w:t xml:space="preserve">                     </w:t>
      </w:r>
    </w:p>
    <w:p w:rsidR="0025245D" w:rsidRPr="003C61C1" w:rsidRDefault="0025245D" w:rsidP="0025245D">
      <w:r>
        <w:t xml:space="preserve">  </w:t>
      </w:r>
      <w:r w:rsidR="001E0597">
        <w:t xml:space="preserve"> </w:t>
      </w:r>
      <w:bookmarkStart w:id="0" w:name="_GoBack"/>
      <w:bookmarkEnd w:id="0"/>
      <w:proofErr w:type="gramStart"/>
      <w:r>
        <w:t>g</w:t>
      </w:r>
      <w:r w:rsidRPr="003C61C1">
        <w:t>ekennzeichneten Ausstellungsstücke</w:t>
      </w:r>
      <w:proofErr w:type="gramEnd"/>
      <w:r w:rsidRPr="003C61C1">
        <w:t>.</w:t>
      </w:r>
    </w:p>
    <w:p w:rsidR="0025245D" w:rsidRDefault="0025245D" w:rsidP="00CE45B8">
      <w:pPr>
        <w:rPr>
          <w:b/>
        </w:rPr>
      </w:pPr>
    </w:p>
    <w:p w:rsidR="0025245D" w:rsidRDefault="0025245D" w:rsidP="00CE45B8">
      <w:pPr>
        <w:rPr>
          <w:b/>
        </w:rPr>
      </w:pPr>
    </w:p>
    <w:p w:rsidR="0025245D" w:rsidRDefault="0025245D" w:rsidP="0025245D">
      <w:pPr>
        <w:ind w:left="426"/>
        <w:rPr>
          <w:b/>
        </w:rPr>
      </w:pPr>
    </w:p>
    <w:p w:rsidR="0025245D" w:rsidRDefault="0025245D" w:rsidP="00CE45B8">
      <w:pPr>
        <w:rPr>
          <w:b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4DB7E4D9" wp14:editId="22D32EA1">
            <wp:simplePos x="0" y="0"/>
            <wp:positionH relativeFrom="column">
              <wp:posOffset>3175</wp:posOffset>
            </wp:positionH>
            <wp:positionV relativeFrom="paragraph">
              <wp:posOffset>130175</wp:posOffset>
            </wp:positionV>
            <wp:extent cx="898525" cy="1637665"/>
            <wp:effectExtent l="0" t="0" r="0" b="635"/>
            <wp:wrapTight wrapText="bothSides">
              <wp:wrapPolygon edited="0">
                <wp:start x="0" y="0"/>
                <wp:lineTo x="0" y="21357"/>
                <wp:lineTo x="21066" y="21357"/>
                <wp:lineTo x="21066" y="0"/>
                <wp:lineTo x="0" y="0"/>
              </wp:wrapPolygon>
            </wp:wrapTight>
            <wp:docPr id="7" name="Grafik 7" descr="M:\DezIX\Abt4\Ausstellungen\Dauerausstellung\Kreuzgangobergeschoss\Handouts für Besucher, auch engl\Symbole\Domtu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:\DezIX\Abt4\Ausstellungen\Dauerausstellung\Kreuzgangobergeschoss\Handouts für Besucher, auch engl\Symbole\Domtur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5245D" w:rsidRDefault="00CE45B8" w:rsidP="00CE45B8">
      <w:pPr>
        <w:rPr>
          <w:b/>
        </w:rPr>
      </w:pPr>
      <w:r>
        <w:rPr>
          <w:b/>
        </w:rPr>
        <w:t xml:space="preserve">   </w:t>
      </w:r>
      <w:r>
        <w:rPr>
          <w:b/>
        </w:rPr>
        <w:br/>
        <w:t xml:space="preserve"> </w:t>
      </w:r>
    </w:p>
    <w:p w:rsidR="001E0597" w:rsidRPr="001E0597" w:rsidRDefault="0025245D" w:rsidP="001E0597">
      <w:pPr>
        <w:ind w:left="1701"/>
        <w:rPr>
          <w:b/>
        </w:rPr>
      </w:pPr>
      <w:r>
        <w:rPr>
          <w:b/>
        </w:rPr>
        <w:t xml:space="preserve"> </w:t>
      </w:r>
      <w:r w:rsidR="001E0597" w:rsidRPr="001E0597">
        <w:rPr>
          <w:b/>
        </w:rPr>
        <w:t>Domturm</w:t>
      </w:r>
    </w:p>
    <w:p w:rsidR="001E0597" w:rsidRPr="001E0597" w:rsidRDefault="001E0597" w:rsidP="001E0597">
      <w:pPr>
        <w:ind w:left="1701"/>
      </w:pPr>
      <w:r w:rsidRPr="001E0597">
        <w:rPr>
          <w:b/>
        </w:rPr>
        <w:t xml:space="preserve"> </w:t>
      </w:r>
      <w:r w:rsidRPr="001E0597">
        <w:t xml:space="preserve">Objekte mit diesem Symbol verweisen Sie auf die    </w:t>
      </w:r>
    </w:p>
    <w:p w:rsidR="001E0597" w:rsidRPr="001E0597" w:rsidRDefault="001E0597" w:rsidP="001E0597">
      <w:pPr>
        <w:ind w:left="1701"/>
      </w:pPr>
      <w:r w:rsidRPr="001E0597">
        <w:t xml:space="preserve"> wechselvolle Architektur und Ausstattungs-  </w:t>
      </w:r>
    </w:p>
    <w:p w:rsidR="001E0597" w:rsidRPr="001E0597" w:rsidRDefault="001E0597" w:rsidP="001E0597">
      <w:pPr>
        <w:ind w:left="1701"/>
      </w:pPr>
      <w:r w:rsidRPr="001E0597">
        <w:t xml:space="preserve"> </w:t>
      </w:r>
      <w:proofErr w:type="spellStart"/>
      <w:r w:rsidRPr="001E0597">
        <w:t>geschichte</w:t>
      </w:r>
      <w:proofErr w:type="spellEnd"/>
      <w:r w:rsidRPr="001E0597">
        <w:t xml:space="preserve"> des Mainzer Doms.</w:t>
      </w:r>
    </w:p>
    <w:sectPr w:rsidR="001E0597" w:rsidRPr="001E0597" w:rsidSect="001E0597">
      <w:footerReference w:type="default" r:id="rId11"/>
      <w:pgSz w:w="11906" w:h="16838"/>
      <w:pgMar w:top="720" w:right="1133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AFD" w:rsidRDefault="00814AFD" w:rsidP="00814AFD">
      <w:r>
        <w:separator/>
      </w:r>
    </w:p>
  </w:endnote>
  <w:endnote w:type="continuationSeparator" w:id="0">
    <w:p w:rsidR="00814AFD" w:rsidRDefault="00814AFD" w:rsidP="00814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3D4" w:rsidRPr="00A553D4" w:rsidRDefault="00A553D4" w:rsidP="00A553D4">
    <w:pPr>
      <w:spacing w:line="276" w:lineRule="auto"/>
      <w:ind w:left="284"/>
      <w:rPr>
        <w:rFonts w:ascii="Cambria" w:eastAsia="MS Mincho" w:hAnsi="Cambria"/>
        <w:b/>
        <w:color w:val="595959"/>
        <w:w w:val="110"/>
        <w:kern w:val="16"/>
        <w:szCs w:val="22"/>
      </w:rPr>
    </w:pPr>
    <w:r w:rsidRPr="00A553D4">
      <w:rPr>
        <w:rFonts w:ascii="Cambria" w:eastAsia="MS Mincho" w:hAnsi="Cambria"/>
        <w:b/>
        <w:color w:val="595959"/>
        <w:w w:val="110"/>
        <w:kern w:val="16"/>
        <w:szCs w:val="22"/>
      </w:rPr>
      <w:t xml:space="preserve">IHRE ANSPRECHPARTNERIN </w:t>
    </w:r>
    <w:r w:rsidRPr="00A553D4">
      <w:rPr>
        <w:rFonts w:ascii="Cambria" w:eastAsia="MS Mincho" w:hAnsi="Cambria"/>
        <w:color w:val="595959"/>
        <w:w w:val="110"/>
        <w:kern w:val="16"/>
        <w:szCs w:val="22"/>
      </w:rPr>
      <w:t>für Presse- und Öffentlichkeitsarbeit</w:t>
    </w:r>
  </w:p>
  <w:p w:rsidR="00A553D4" w:rsidRPr="00A553D4" w:rsidRDefault="00A553D4" w:rsidP="00A553D4">
    <w:pPr>
      <w:spacing w:line="276" w:lineRule="auto"/>
      <w:rPr>
        <w:rFonts w:ascii="Cambria" w:eastAsia="MS Mincho" w:hAnsi="Cambria"/>
        <w:b/>
        <w:color w:val="595959"/>
        <w:w w:val="110"/>
        <w:kern w:val="16"/>
        <w:sz w:val="16"/>
        <w:szCs w:val="26"/>
      </w:rPr>
    </w:pPr>
    <w:r w:rsidRPr="00A553D4">
      <w:rPr>
        <w:rFonts w:ascii="Cambria" w:eastAsia="MS Mincho" w:hAnsi="Cambria"/>
        <w:color w:val="595959"/>
      </w:rPr>
      <w:t xml:space="preserve">     Esther </w:t>
    </w:r>
    <w:proofErr w:type="spellStart"/>
    <w:r w:rsidRPr="00A553D4">
      <w:rPr>
        <w:rFonts w:ascii="Cambria" w:eastAsia="MS Mincho" w:hAnsi="Cambria"/>
        <w:color w:val="595959"/>
      </w:rPr>
      <w:t>Klippel</w:t>
    </w:r>
    <w:proofErr w:type="spellEnd"/>
    <w:r w:rsidRPr="00A553D4">
      <w:rPr>
        <w:rFonts w:ascii="Cambria" w:eastAsia="MS Mincho" w:hAnsi="Cambria"/>
        <w:color w:val="595959"/>
      </w:rPr>
      <w:t xml:space="preserve"> | 06131 253 379 (oder -344) | esther.klippel@bistum-mainz.de</w:t>
    </w:r>
  </w:p>
  <w:p w:rsidR="00A553D4" w:rsidRDefault="00A553D4">
    <w:pPr>
      <w:pStyle w:val="Fuzeile"/>
    </w:pPr>
  </w:p>
  <w:p w:rsidR="00A553D4" w:rsidRDefault="00A553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AFD" w:rsidRDefault="00814AFD" w:rsidP="00814AFD">
      <w:r>
        <w:separator/>
      </w:r>
    </w:p>
  </w:footnote>
  <w:footnote w:type="continuationSeparator" w:id="0">
    <w:p w:rsidR="00814AFD" w:rsidRDefault="00814AFD" w:rsidP="00814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BD"/>
    <w:rsid w:val="001E0597"/>
    <w:rsid w:val="0025245D"/>
    <w:rsid w:val="002D3ABD"/>
    <w:rsid w:val="00814AFD"/>
    <w:rsid w:val="008C51F4"/>
    <w:rsid w:val="00A553D4"/>
    <w:rsid w:val="00B612DA"/>
    <w:rsid w:val="00CE45B8"/>
    <w:rsid w:val="00DD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4AFD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4A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4AFD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A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4AFD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AF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AFD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4AFD"/>
    <w:pPr>
      <w:spacing w:after="0" w:line="240" w:lineRule="auto"/>
    </w:pPr>
    <w:rPr>
      <w:rFonts w:ascii="Arial" w:eastAsia="Times New Roman" w:hAnsi="Arial" w:cs="Arial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14AF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14AFD"/>
    <w:rPr>
      <w:rFonts w:ascii="Arial" w:eastAsia="Times New Roman" w:hAnsi="Arial" w:cs="Arial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814AF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14AFD"/>
    <w:rPr>
      <w:rFonts w:ascii="Arial" w:eastAsia="Times New Roman" w:hAnsi="Arial" w:cs="Arial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14AF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14AFD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Bischoefliches Ordinariat Mainz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Klippel</dc:creator>
  <cp:keywords/>
  <dc:description/>
  <cp:lastModifiedBy>Esther Klippel</cp:lastModifiedBy>
  <cp:revision>6</cp:revision>
  <cp:lastPrinted>2018-04-27T07:32:00Z</cp:lastPrinted>
  <dcterms:created xsi:type="dcterms:W3CDTF">2018-04-24T07:19:00Z</dcterms:created>
  <dcterms:modified xsi:type="dcterms:W3CDTF">2018-04-27T07:33:00Z</dcterms:modified>
</cp:coreProperties>
</file>